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Analyse des Buches </w:t>
      </w:r>
      <w:r w:rsidDel="00000000" w:rsidR="00000000" w:rsidRPr="00000000">
        <w:rPr>
          <w:rFonts w:ascii="Google Sans Text" w:cs="Google Sans Text" w:eastAsia="Google Sans Text" w:hAnsi="Google Sans Text"/>
          <w:i w:val="1"/>
          <w:iCs w:val="1"/>
          <w:rtl w:val="0"/>
        </w:rPr>
        <w:t xml:space="preserve">Education is Broken</w:t>
      </w:r>
      <w:r w:rsidDel="00000000" w:rsidR="00000000" w:rsidRPr="00000000">
        <w:rPr>
          <w:rFonts w:ascii="Google Sans Text" w:cs="Google Sans Text" w:eastAsia="Google Sans Text" w:hAnsi="Google Sans Text"/>
          <w:rtl w:val="0"/>
        </w:rPr>
        <w:t xml:space="preserve"> von Krishan Mathis (Stand Januar 2026) zeigt ein tiefgreifendes Verständnis der aktuellen Transformation durch KI, offenbart jedoch auch signifikante Argumentationslücken, strukturelle Widersprüche und Punkte, in denen die Vision die Realität überholt.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Hier ist die detaillierte Untersuchung der Schwachstellen: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 Argumentationslücken (Gaps)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Das „Wie“ der Agency-Bildung:</w:t>
      </w:r>
      <w:r w:rsidDel="00000000" w:rsidR="00000000" w:rsidRPr="00000000">
        <w:rPr>
          <w:rFonts w:ascii="Google Sans Text" w:cs="Google Sans Text" w:eastAsia="Google Sans Text" w:hAnsi="Google Sans Text"/>
          <w:rtl w:val="0"/>
        </w:rPr>
        <w:t xml:space="preserve"> Das Buch identifiziert die „Agency-Kluft“ (Agency Divide) als das zentrale neue Gerechtigkeitsproblem: Wer die Selbstdisziplin hat, nutzt KI als Partner; wer sie nicht hat, nutzt sie als Krücke. Mathis fordert „Agency-building curricula“.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5">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Die Lücke:</w:t>
      </w:r>
      <w:r w:rsidDel="00000000" w:rsidR="00000000" w:rsidRPr="00000000">
        <w:rPr>
          <w:rFonts w:ascii="Google Sans Text" w:cs="Google Sans Text" w:eastAsia="Google Sans Text" w:hAnsi="Google Sans Text"/>
          <w:rtl w:val="0"/>
        </w:rPr>
        <w:t xml:space="preserve"> Es bleibt unklar, wie Schulen und Universitäten diese tief verwurzelte psychologische und soziale Eigenschaft bei Schülern aus prekären Verhältnissen </w:t>
      </w:r>
      <w:r w:rsidDel="00000000" w:rsidR="00000000" w:rsidRPr="00000000">
        <w:rPr>
          <w:rFonts w:ascii="Google Sans Text" w:cs="Google Sans Text" w:eastAsia="Google Sans Text" w:hAnsi="Google Sans Text"/>
          <w:i w:val="1"/>
          <w:iCs w:val="1"/>
          <w:rtl w:val="0"/>
        </w:rPr>
        <w:t xml:space="preserve">nachträglich</w:t>
      </w:r>
      <w:r w:rsidDel="00000000" w:rsidR="00000000" w:rsidRPr="00000000">
        <w:rPr>
          <w:rFonts w:ascii="Google Sans Text" w:cs="Google Sans Text" w:eastAsia="Google Sans Text" w:hAnsi="Google Sans Text"/>
          <w:rtl w:val="0"/>
        </w:rPr>
        <w:t xml:space="preserve"> aufbauen sollen, wenn diese bereits durch das K-12-System geprägt wurden. Der Text nennt zwar Mentoring als Lösung, bietet aber keinen pädagogischen Fahrplan für die Skalierung dieser Charakterbildung.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Finanzierung der „Crucibles“:</w:t>
      </w:r>
      <w:r w:rsidDel="00000000" w:rsidR="00000000" w:rsidRPr="00000000">
        <w:rPr>
          <w:rFonts w:ascii="Google Sans Text" w:cs="Google Sans Text" w:eastAsia="Google Sans Text" w:hAnsi="Google Sans Text"/>
          <w:rtl w:val="0"/>
        </w:rPr>
        <w:t xml:space="preserve"> Mathis argumentiert, dass Universitäten zu „Crucibles of Character“ (Schmelztiegeln für Charakterbildung) werden müssen – also zu Orten für tiefgreifende menschliche Interaktion und soziale Reifung.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7">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Die Lücke:</w:t>
      </w:r>
      <w:r w:rsidDel="00000000" w:rsidR="00000000" w:rsidRPr="00000000">
        <w:rPr>
          <w:rFonts w:ascii="Google Sans Text" w:cs="Google Sans Text" w:eastAsia="Google Sans Text" w:hAnsi="Google Sans Text"/>
          <w:rtl w:val="0"/>
        </w:rPr>
        <w:t xml:space="preserve"> Solche Modelle sind extrem personalintensiv und teuer. Gleichzeitig beschreibt das Buch eine „Finanzkrise“ der Institutionen durch sinkende staatliche Mittel. Es fehlt eine überzeugende Antwort darauf, wie Massenuniversitäten diesen Wandel finanzieren sollen, wenn ihr bisheriges Geschäftsmodell (der Verkauf von Inhalten) durch die „Intelligence Factory“ entwertet wird.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Der K-12-Elefant im Raum:</w:t>
      </w:r>
      <w:r w:rsidDel="00000000" w:rsidR="00000000" w:rsidRPr="00000000">
        <w:rPr>
          <w:rFonts w:ascii="Google Sans Text" w:cs="Google Sans Text" w:eastAsia="Google Sans Text" w:hAnsi="Google Sans Text"/>
          <w:rtl w:val="0"/>
        </w:rPr>
        <w:t xml:space="preserve"> Der Autor gibt zu, dass die Probleme der Hochschulbildung oft Symptome eines versagenden Primar- und Sekundärschulwesens sind.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9">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Die Lücke:</w:t>
      </w:r>
      <w:r w:rsidDel="00000000" w:rsidR="00000000" w:rsidRPr="00000000">
        <w:rPr>
          <w:rFonts w:ascii="Google Sans Text" w:cs="Google Sans Text" w:eastAsia="Google Sans Text" w:hAnsi="Google Sans Text"/>
          <w:rtl w:val="0"/>
        </w:rPr>
        <w:t xml:space="preserve"> Da die „Agency“ und die Lernvoraussetzungen weit vor der Universität geformt werden, wirkt die Konzentration auf das Hochschulwesen wie eine Behandlung der Symptome, während die Ursache der „Brokenness“ (die K-12-Basis) weitgehend ausgeklammert wird.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2. Widersprüche (Contradictions)</w:t>
      </w:r>
    </w:p>
    <w:p w:rsidR="00000000" w:rsidDel="00000000" w:rsidP="00000000" w:rsidRDefault="00000000" w:rsidRPr="00000000" w14:paraId="0000000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Der Tod des Diploms vs. das Diplom als Anker:</w:t>
      </w:r>
    </w:p>
    <w:p w:rsidR="00000000" w:rsidDel="00000000" w:rsidP="00000000" w:rsidRDefault="00000000" w:rsidRPr="00000000" w14:paraId="0000000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Einerseits:</w:t>
      </w:r>
      <w:r w:rsidDel="00000000" w:rsidR="00000000" w:rsidRPr="00000000">
        <w:rPr>
          <w:rFonts w:ascii="Google Sans Text" w:cs="Google Sans Text" w:eastAsia="Google Sans Text" w:hAnsi="Google Sans Text"/>
          <w:rtl w:val="0"/>
        </w:rPr>
        <w:t xml:space="preserve"> Mathis behauptet, das Diplom verschiebe sich vom „Gatekeeper“ zur bloßen „Präferenz“ und Projekte seien die „neuen Zeugnisse“.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D">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Andererseits:</w:t>
      </w:r>
      <w:r w:rsidDel="00000000" w:rsidR="00000000" w:rsidRPr="00000000">
        <w:rPr>
          <w:rFonts w:ascii="Google Sans Text" w:cs="Google Sans Text" w:eastAsia="Google Sans Text" w:hAnsi="Google Sans Text"/>
          <w:rtl w:val="0"/>
        </w:rPr>
        <w:t xml:space="preserve"> Er räumt ein, dass Abschlüsse in regulierten Berufen (Medizin, Jura, Lehramt) „harte Barrieren“ bleiben und dass Diplome als einziges verlässliches Signal für langfristiges Engagement dienen. Dieser Widerspruch zwischen der Vision einer meritokratischen Portfolio-Welt und der Realität bürokratischer Trägheit wird im Text nicht aufgelöst.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Kooperation vs. Stratifizierung:</w:t>
      </w:r>
    </w:p>
    <w:p w:rsidR="00000000" w:rsidDel="00000000" w:rsidP="00000000" w:rsidRDefault="00000000" w:rsidRPr="00000000" w14:paraId="0000000F">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Einerseits:</w:t>
      </w:r>
      <w:r w:rsidDel="00000000" w:rsidR="00000000" w:rsidRPr="00000000">
        <w:rPr>
          <w:rFonts w:ascii="Google Sans Text" w:cs="Google Sans Text" w:eastAsia="Google Sans Text" w:hAnsi="Google Sans Text"/>
          <w:rtl w:val="0"/>
        </w:rPr>
        <w:t xml:space="preserve"> Europäische Universitätsallianzen (EUI) werden als Modell für grenzüberschreitende Zusammenarbeit gelobt.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0">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Andererseits:</w:t>
      </w:r>
      <w:r w:rsidDel="00000000" w:rsidR="00000000" w:rsidRPr="00000000">
        <w:rPr>
          <w:rFonts w:ascii="Google Sans Text" w:cs="Google Sans Text" w:eastAsia="Google Sans Text" w:hAnsi="Google Sans Text"/>
          <w:rtl w:val="0"/>
        </w:rPr>
        <w:t xml:space="preserve"> Der Text belegt eindrucksvoll, dass diese Allianzen den „Matthew-Effekt“ verstärken – die Reichen werden reicher, während periphere Institutionen (z. B. in Osteuropa) abgehängt werden. Das Ziel der Inklusion steht hier im direkten Widerspruch zur beobachteten Realität der Elitenbildung.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KI als Demokratisierung vs. KI als Ungleichheitsverstärker:</w:t>
      </w:r>
    </w:p>
    <w:p w:rsidR="00000000" w:rsidDel="00000000" w:rsidP="00000000" w:rsidRDefault="00000000" w:rsidRPr="00000000" w14:paraId="00000012">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Das Buch schwankt zwischen dem „uralten Traum vom persönlichen Tutor für jeden“ und der Warnung, dass KI-Modelle bestehende Vorurteile (Algorithmic Bias) gegenüber Minderheiten zementieren (80% Bias-Rate in nicht geprüften Systemen).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3. Nicht überzeugende Punkte (Unconvincing Arguments)</w:t>
      </w:r>
    </w:p>
    <w:p w:rsidR="00000000" w:rsidDel="00000000" w:rsidP="00000000" w:rsidRDefault="00000000" w:rsidRPr="00000000" w14:paraId="0000001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Die Lesbarkeit des „Signalling Stacks“:</w:t>
      </w:r>
      <w:r w:rsidDel="00000000" w:rsidR="00000000" w:rsidRPr="00000000">
        <w:rPr>
          <w:rFonts w:ascii="Google Sans Text" w:cs="Google Sans Text" w:eastAsia="Google Sans Text" w:hAnsi="Google Sans Text"/>
          <w:rtl w:val="0"/>
        </w:rPr>
        <w:t xml:space="preserve"> Die Theorie, dass Arbeitgeber bald einen vierstufigen Stapel aus Abschlüssen, Micro-Credentials, Portfolios und KI-verifizierten Verhaltensdaten bewerten werden, ist theoretisch elegant.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5">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Warum nicht überzeugend:</w:t>
      </w:r>
      <w:r w:rsidDel="00000000" w:rsidR="00000000" w:rsidRPr="00000000">
        <w:rPr>
          <w:rFonts w:ascii="Google Sans Text" w:cs="Google Sans Text" w:eastAsia="Google Sans Text" w:hAnsi="Google Sans Text"/>
          <w:rtl w:val="0"/>
        </w:rPr>
        <w:t xml:space="preserve"> Der Text gibt selbst zu, dass heute fast 50% der Arbeitgeber nicht einmal wissen, wie sie ein einzelnes Micro-Credential bewerten sollen. Die Annahme, dass Personalabteilungen in den nächsten 5–10 Jahren die Kapazität für die komplexe Analyse von Verhaltensprofilen (Layer 4) entwickeln, wirkt angesichts der beschriebenen „Trägheit“ des Systems sehr optimistisch.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Erfolgsmodelle durch Selektionsbias:</w:t>
      </w:r>
      <w:r w:rsidDel="00000000" w:rsidR="00000000" w:rsidRPr="00000000">
        <w:rPr>
          <w:rFonts w:ascii="Google Sans Text" w:cs="Google Sans Text" w:eastAsia="Google Sans Text" w:hAnsi="Google Sans Text"/>
          <w:rtl w:val="0"/>
        </w:rPr>
        <w:t xml:space="preserve"> Die Profile von </w:t>
      </w:r>
      <w:r w:rsidDel="00000000" w:rsidR="00000000" w:rsidRPr="00000000">
        <w:rPr>
          <w:rFonts w:ascii="Google Sans Text" w:cs="Google Sans Text" w:eastAsia="Google Sans Text" w:hAnsi="Google Sans Text"/>
          <w:i w:val="1"/>
          <w:iCs w:val="1"/>
          <w:rtl w:val="0"/>
        </w:rPr>
        <w:t xml:space="preserve">Minerva University</w:t>
      </w:r>
      <w:r w:rsidDel="00000000" w:rsidR="00000000" w:rsidRPr="00000000">
        <w:rPr>
          <w:rFonts w:ascii="Google Sans Text" w:cs="Google Sans Text" w:eastAsia="Google Sans Text" w:hAnsi="Google Sans Text"/>
          <w:rtl w:val="0"/>
        </w:rPr>
        <w:t xml:space="preserve"> und </w:t>
      </w:r>
      <w:r w:rsidDel="00000000" w:rsidR="00000000" w:rsidRPr="00000000">
        <w:rPr>
          <w:rFonts w:ascii="Google Sans Text" w:cs="Google Sans Text" w:eastAsia="Google Sans Text" w:hAnsi="Google Sans Text"/>
          <w:i w:val="1"/>
          <w:iCs w:val="1"/>
          <w:rtl w:val="0"/>
        </w:rPr>
        <w:t xml:space="preserve">42 School</w:t>
      </w:r>
      <w:r w:rsidDel="00000000" w:rsidR="00000000" w:rsidRPr="00000000">
        <w:rPr>
          <w:rFonts w:ascii="Google Sans Text" w:cs="Google Sans Text" w:eastAsia="Google Sans Text" w:hAnsi="Google Sans Text"/>
          <w:rtl w:val="0"/>
        </w:rPr>
        <w:t xml:space="preserve"> werden als „neue Modelle“ präsentiert.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7">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Warum nicht überzeugend:</w:t>
      </w:r>
      <w:r w:rsidDel="00000000" w:rsidR="00000000" w:rsidRPr="00000000">
        <w:rPr>
          <w:rFonts w:ascii="Google Sans Text" w:cs="Google Sans Text" w:eastAsia="Google Sans Text" w:hAnsi="Google Sans Text"/>
          <w:rtl w:val="0"/>
        </w:rPr>
        <w:t xml:space="preserve"> Mathis entlarvt seine eigenen Beispiele, indem er zeigt, dass deren Erfolg fast ausschließlich auf einem extremen „Selection Bias“ beruht. Wenn ein Modell nur funktioniert, weil es nur die motiviertesten 1% der Weltbevölkerung aufnimmt, ist es keine Lösung für das Bildungssystem, sondern lediglich ein effizienterer Filter für ohnehin privilegierte Talente.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Staatliche Aufsicht vs. Geschwindigkeit:</w:t>
      </w:r>
      <w:r w:rsidDel="00000000" w:rsidR="00000000" w:rsidRPr="00000000">
        <w:rPr>
          <w:rFonts w:ascii="Google Sans Text" w:cs="Google Sans Text" w:eastAsia="Google Sans Text" w:hAnsi="Google Sans Text"/>
          <w:rtl w:val="0"/>
        </w:rPr>
        <w:t xml:space="preserve"> Die Forderung nach strenger öffentlicher Kontrolle und ethischen Audits für KI-Systeme ist moralisch schlüssig.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9">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Warum nicht überzeugend:</w:t>
      </w:r>
      <w:r w:rsidDel="00000000" w:rsidR="00000000" w:rsidRPr="00000000">
        <w:rPr>
          <w:rFonts w:ascii="Google Sans Text" w:cs="Google Sans Text" w:eastAsia="Google Sans Text" w:hAnsi="Google Sans Text"/>
          <w:rtl w:val="0"/>
        </w:rPr>
        <w:t xml:space="preserve"> Angesichts der beschriebenen „Governance-Falle“ (langsame Gremienprozesse an Unis) und der rasanten Entwicklung der privaten „Intelligence Factories“ bleibt der Text den Beweis schuldig, wie eine staatliche Regulierung jemals mit der technologischen Realität Schritt halten soll, ohne die Innovation im Keim zu ersticken.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rtl w:val="0"/>
        </w:rPr>
        <w:t xml:space="preserve">Möchten Sie, dass ich einen dieser Punkte – zum Beispiel das Problem der Finanzierung der „Crucibles“ oder die konkreten Risiken des „Signalling Stacks“ – tiefergehend für eine kritische Rezension ausarbeite?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